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judicial-de-lisboa"/>
    <w:p>
      <w:pPr>
        <w:pStyle w:val="Heading2"/>
      </w:pPr>
      <w:r>
        <w:rPr>
          <w:b/>
          <w:bCs/>
        </w:rPr>
        <w:t xml:space="preserve">Tribunal Judicial de Lisboa</w:t>
      </w:r>
    </w:p>
    <w:p>
      <w:pPr>
        <w:pStyle w:val="FirstParagraph"/>
      </w:pPr>
      <w:r>
        <w:rPr>
          <w:b/>
          <w:bCs/>
        </w:rPr>
        <w:t xml:space="preserve">Juízo de Instrução Criminal n.º 4</w:t>
      </w:r>
    </w:p>
    <w:p>
      <w:pPr>
        <w:pStyle w:val="BodyText"/>
      </w:pPr>
      <w:r>
        <w:rPr>
          <w:b/>
          <w:bCs/>
        </w:rPr>
        <w:t xml:space="preserve">Processo Penal n.º 2023/0456</w:t>
      </w:r>
      <w:r>
        <w:t xml:space="preserve"> </w:t>
      </w:r>
      <w:r>
        <w:t xml:space="preserve">– Burla Informática (phishing) – Transferências Fraudulentas de €32 000</w:t>
      </w:r>
    </w:p>
    <w:p>
      <w:r>
        <w:pict>
          <v:rect style="width:0;height:1.5pt" o:hralign="center" o:hrstd="t" o:hr="t"/>
        </w:pict>
      </w:r>
    </w:p>
    <w:bookmarkStart w:id="9" w:name="Xd322767132c366cb2aa871e62e166fcf05ab0a6"/>
    <w:p>
      <w:pPr>
        <w:pStyle w:val="Heading3"/>
      </w:pPr>
      <w:r>
        <w:rPr>
          <w:b/>
          <w:bCs/>
        </w:rPr>
        <w:t xml:space="preserve">Petição Inicial – Ação Penal por Burla Informática</w: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Exmo. Sr. Juiz de Instrução Criminal n.º 4</w:t>
      </w:r>
      <w:r>
        <w:t xml:space="preserve">,</w:t>
      </w:r>
    </w:p>
    <w:p>
      <w:pPr>
        <w:pStyle w:val="BodyText"/>
      </w:pPr>
      <w:r>
        <w:t xml:space="preserve">O Ministério Público, por intermédio da</w:t>
      </w:r>
      <w:r>
        <w:t xml:space="preserve"> </w:t>
      </w:r>
      <w:r>
        <w:rPr>
          <w:b/>
          <w:bCs/>
        </w:rPr>
        <w:t xml:space="preserve">Secção de Instrução Criminal</w:t>
      </w:r>
      <w:r>
        <w:t xml:space="preserve"> </w:t>
      </w:r>
      <w:r>
        <w:t xml:space="preserve">do Tribunal Judicial de Lisboa, com sede na</w:t>
      </w:r>
      <w:r>
        <w:t xml:space="preserve"> </w:t>
      </w:r>
      <w:r>
        <w:rPr>
          <w:b/>
          <w:bCs/>
        </w:rPr>
        <w:t xml:space="preserve">Rua da Prata, 100 – 1100‑420 Lisboa</w:t>
      </w:r>
      <w:r>
        <w:t xml:space="preserve">, NIF</w:t>
      </w:r>
      <w:r>
        <w:t xml:space="preserve"> </w:t>
      </w:r>
      <w:r>
        <w:rPr>
          <w:b/>
          <w:bCs/>
        </w:rPr>
        <w:t xml:space="preserve">503 123 456</w:t>
      </w:r>
      <w:r>
        <w:t xml:space="preserve">, representado neste ato pela</w:t>
      </w:r>
      <w:r>
        <w:t xml:space="preserve"> </w:t>
      </w:r>
      <w:r>
        <w:rPr>
          <w:b/>
          <w:bCs/>
        </w:rPr>
        <w:t xml:space="preserve">Procuradora do Ministério Público</w:t>
      </w:r>
      <w:r>
        <w:t xml:space="preserve">,</w:t>
      </w:r>
      <w:r>
        <w:t xml:space="preserve"> </w:t>
      </w:r>
      <w:r>
        <w:rPr>
          <w:b/>
          <w:bCs/>
        </w:rPr>
        <w:t xml:space="preserve">Dra. Marta Santos</w:t>
      </w:r>
      <w:r>
        <w:t xml:space="preserve">, OA</w:t>
      </w:r>
      <w:r>
        <w:t xml:space="preserve"> </w:t>
      </w:r>
      <w:r>
        <w:rPr>
          <w:b/>
          <w:bCs/>
        </w:rPr>
        <w:t xml:space="preserve">54321</w:t>
      </w:r>
      <w:r>
        <w:t xml:space="preserve">, vem, respeitosamente, à presença de V. Exa., expor e requerer o seguinte: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11" w:name="identificação-das-partes"/>
    <w:p>
      <w:pPr>
        <w:pStyle w:val="Heading2"/>
      </w:pPr>
      <w:r>
        <w:t xml:space="preserve">1.</w:t>
      </w:r>
      <w:r>
        <w:t xml:space="preserve"> </w:t>
      </w:r>
      <w:r>
        <w:rPr>
          <w:b/>
          <w:bCs/>
        </w:rPr>
        <w:t xml:space="preserve">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428"/>
        <w:gridCol w:w="1298"/>
        <w:gridCol w:w="1558"/>
        <w:gridCol w:w="1168"/>
        <w:gridCol w:w="246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NIF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Ministério Público</w:t>
            </w:r>
          </w:p>
        </w:tc>
        <w:tc>
          <w:tcPr/>
          <w:p>
            <w:pPr>
              <w:pStyle w:val="Compact"/>
            </w:pPr>
            <w:r>
              <w:t xml:space="preserve">Ministério Público – Secção de Instrução Criminal</w:t>
            </w:r>
          </w:p>
        </w:tc>
        <w:tc>
          <w:tcPr/>
          <w:p>
            <w:pPr>
              <w:pStyle w:val="Compact"/>
            </w:pPr>
            <w:r>
              <w:t xml:space="preserve">Rua da Prata, 100 – 1100‑420 Lisboa</w:t>
            </w:r>
          </w:p>
        </w:tc>
        <w:tc>
          <w:tcPr/>
          <w:p>
            <w:pPr>
              <w:pStyle w:val="Compact"/>
            </w:pPr>
            <w:r>
              <w:t xml:space="preserve">503 123 456</w:t>
            </w:r>
          </w:p>
        </w:tc>
        <w:tc>
          <w:tcPr/>
          <w:p>
            <w:pPr>
              <w:pStyle w:val="Compact"/>
            </w:pPr>
            <w:r>
              <w:t xml:space="preserve">Procuradora Marta Santos (OA 54321)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</w:t>
            </w:r>
          </w:p>
        </w:tc>
        <w:tc>
          <w:tcPr/>
          <w:p>
            <w:pPr>
              <w:pStyle w:val="Compact"/>
            </w:pPr>
            <w:r>
              <w:t xml:space="preserve">João da Silva</w:t>
            </w:r>
          </w:p>
        </w:tc>
        <w:tc>
          <w:tcPr/>
          <w:p>
            <w:pPr>
              <w:pStyle w:val="Compact"/>
            </w:pPr>
            <w:r>
              <w:t xml:space="preserve">Rua das Flores, 45 – 1150‑210 Lisboa</w:t>
            </w:r>
          </w:p>
        </w:tc>
        <w:tc>
          <w:tcPr/>
          <w:p>
            <w:pPr>
              <w:pStyle w:val="Compact"/>
            </w:pPr>
            <w:r>
              <w:t xml:space="preserve">213 456 789</w:t>
            </w:r>
          </w:p>
        </w:tc>
        <w:tc>
          <w:tcPr/>
          <w:p>
            <w:pPr>
              <w:pStyle w:val="Compact"/>
            </w:pPr>
            <w:r>
              <w:t xml:space="preserve">Advogados: Dr. Ana Pereira (OA 12345) e Dr. Luís Carvalho (OA 67890)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exposição-dos-factos"/>
    <w:p>
      <w:pPr>
        <w:pStyle w:val="Heading2"/>
      </w:pPr>
      <w:r>
        <w:t xml:space="preserve">2.</w:t>
      </w:r>
      <w:r>
        <w:t xml:space="preserve"> </w:t>
      </w:r>
      <w:r>
        <w:rPr>
          <w:b/>
          <w:bCs/>
        </w:rPr>
        <w:t xml:space="preserve">Exposição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Período dos factos</w:t>
      </w:r>
      <w:r>
        <w:t xml:space="preserve"> </w:t>
      </w:r>
      <w:r>
        <w:t xml:space="preserve">– Entre os dias</w:t>
      </w:r>
      <w:r>
        <w:t xml:space="preserve"> </w:t>
      </w:r>
      <w:r>
        <w:rPr>
          <w:b/>
          <w:bCs/>
        </w:rPr>
        <w:t xml:space="preserve">10 e 25 de março de 2023</w:t>
      </w:r>
      <w:r>
        <w:t xml:space="preserve">, o réu, valendo‑se de técnicas de</w:t>
      </w:r>
      <w:r>
        <w:t xml:space="preserve"> </w:t>
      </w:r>
      <w:r>
        <w:rPr>
          <w:i/>
          <w:iCs/>
        </w:rPr>
        <w:t xml:space="preserve">phishing</w:t>
      </w:r>
      <w:r>
        <w:t xml:space="preserve"> </w:t>
      </w:r>
      <w:r>
        <w:t xml:space="preserve">(envio de mensagens eletrónicas fraudulentas que imitavam a identidade da instituição bancária</w:t>
      </w:r>
      <w:r>
        <w:t xml:space="preserve"> </w:t>
      </w:r>
      <w:r>
        <w:rPr>
          <w:b/>
          <w:bCs/>
        </w:rPr>
        <w:t xml:space="preserve">Banco Nacional de Portugal</w:t>
      </w:r>
      <w:r>
        <w:t xml:space="preserve">), induziu o titular da conta bancária</w:t>
      </w:r>
      <w:r>
        <w:t xml:space="preserve"> </w:t>
      </w:r>
      <w:r>
        <w:rPr>
          <w:b/>
          <w:bCs/>
        </w:rPr>
        <w:t xml:space="preserve">N.º 12345678/9</w:t>
      </w:r>
      <w:r>
        <w:t xml:space="preserve">, pertencente à empresa</w:t>
      </w:r>
      <w:r>
        <w:t xml:space="preserve"> </w:t>
      </w:r>
      <w:r>
        <w:rPr>
          <w:b/>
          <w:bCs/>
        </w:rPr>
        <w:t xml:space="preserve">TechSolutions, Lda.</w:t>
      </w:r>
      <w:r>
        <w:t xml:space="preserve">, NIF</w:t>
      </w:r>
      <w:r>
        <w:t xml:space="preserve"> </w:t>
      </w:r>
      <w:r>
        <w:rPr>
          <w:b/>
          <w:bCs/>
        </w:rPr>
        <w:t xml:space="preserve">504 987 321</w:t>
      </w:r>
      <w:r>
        <w:t xml:space="preserve">, a efetuar transferências para contas controladas pelo réu.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Montante total fraudado</w:t>
      </w:r>
      <w:r>
        <w:t xml:space="preserve"> </w:t>
      </w:r>
      <w:r>
        <w:t xml:space="preserve">– €32 000, distribuídos conforme a tabela abaixo: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29"/>
        <w:gridCol w:w="1518"/>
        <w:gridCol w:w="347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da Transferência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IBAN da Conta Destinatária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 de março de 2023</w:t>
            </w:r>
          </w:p>
        </w:tc>
        <w:tc>
          <w:tcPr/>
          <w:p>
            <w:pPr>
              <w:pStyle w:val="Compact"/>
            </w:pPr>
            <w:r>
              <w:t xml:space="preserve">8 000,00</w:t>
            </w:r>
          </w:p>
        </w:tc>
        <w:tc>
          <w:tcPr/>
          <w:p>
            <w:pPr>
              <w:pStyle w:val="Compact"/>
            </w:pPr>
            <w:r>
              <w:t xml:space="preserve">PT50 0002 0123 4567 8901 2345 6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 de março de 2023</w:t>
            </w:r>
          </w:p>
        </w:tc>
        <w:tc>
          <w:tcPr/>
          <w:p>
            <w:pPr>
              <w:pStyle w:val="Compact"/>
            </w:pPr>
            <w:r>
              <w:t xml:space="preserve">12 000,00</w:t>
            </w:r>
          </w:p>
        </w:tc>
        <w:tc>
          <w:tcPr/>
          <w:p>
            <w:pPr>
              <w:pStyle w:val="Compact"/>
            </w:pPr>
            <w:r>
              <w:t xml:space="preserve">PT50 0002 0987 6543 2109 8765 4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 de março de 2023</w:t>
            </w:r>
          </w:p>
        </w:tc>
        <w:tc>
          <w:tcPr/>
          <w:p>
            <w:pPr>
              <w:pStyle w:val="Compact"/>
            </w:pPr>
            <w:r>
              <w:t xml:space="preserve">6 000,00</w:t>
            </w:r>
          </w:p>
        </w:tc>
        <w:tc>
          <w:tcPr/>
          <w:p>
            <w:pPr>
              <w:pStyle w:val="Compact"/>
            </w:pPr>
            <w:r>
              <w:t xml:space="preserve">PT50 0002 0234 5678 9012 3456 7</w:t>
            </w:r>
          </w:p>
        </w:tc>
      </w:tr>
      <w:tr>
        <w:tc>
          <w:tcPr/>
          <w:p>
            <w:pPr>
              <w:pStyle w:val="Compact"/>
            </w:pPr>
            <w:r>
              <w:t xml:space="preserve">25 de março de 2023</w:t>
            </w:r>
          </w:p>
        </w:tc>
        <w:tc>
          <w:tcPr/>
          <w:p>
            <w:pPr>
              <w:pStyle w:val="Compact"/>
            </w:pPr>
            <w:r>
              <w:t xml:space="preserve">6 000,00</w:t>
            </w:r>
          </w:p>
        </w:tc>
        <w:tc>
          <w:tcPr/>
          <w:p>
            <w:pPr>
              <w:pStyle w:val="Compact"/>
            </w:pPr>
            <w:r>
              <w:t xml:space="preserve">PT50 0002 0567 8901 2345 6789 0</w:t>
            </w:r>
          </w:p>
        </w:tc>
      </w:tr>
    </w:tbl>
    <w:p>
      <w:pPr>
        <w:numPr>
          <w:ilvl w:val="0"/>
          <w:numId w:val="1002"/>
        </w:numPr>
      </w:pPr>
      <w:r>
        <w:rPr>
          <w:b/>
          <w:bCs/>
        </w:rPr>
        <w:t xml:space="preserve">Meios técnicos</w:t>
      </w:r>
      <w:r>
        <w:t xml:space="preserve"> </w:t>
      </w:r>
      <w:r>
        <w:t xml:space="preserve">– O réu utilizou endereços de correio eletrónico falsificados (ex.:</w:t>
      </w:r>
      <w:r>
        <w:t xml:space="preserve"> </w:t>
      </w:r>
      <w:r>
        <w:rPr>
          <w:i/>
          <w:iCs/>
        </w:rPr>
        <w:t xml:space="preserve">conta.segura@bnp.pt</w:t>
      </w:r>
      <w:r>
        <w:t xml:space="preserve">), páginas web de aparência idêntica ao portal do Banco Nacional de Portugal e scripts automatizados para capturar credenciais de acesso.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Consequências</w:t>
      </w:r>
      <w:r>
        <w:t xml:space="preserve"> </w:t>
      </w:r>
      <w:r>
        <w:t xml:space="preserve">– A empresa</w:t>
      </w:r>
      <w:r>
        <w:t xml:space="preserve"> </w:t>
      </w:r>
      <w:r>
        <w:rPr>
          <w:b/>
          <w:bCs/>
        </w:rPr>
        <w:t xml:space="preserve">TechSolutions, Lda.</w:t>
      </w:r>
      <w:r>
        <w:t xml:space="preserve"> </w:t>
      </w:r>
      <w:r>
        <w:t xml:space="preserve">sofreu prejuízo financeiro imediato, bem como danos reputacionais, tendo de arcar com custos de investigação interna e de substituição de dados sensíveis.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Identificação do réu</w:t>
      </w:r>
      <w:r>
        <w:t xml:space="preserve"> </w:t>
      </w:r>
      <w:r>
        <w:t xml:space="preserve">– As investigações realizadas pela Unidade de Investigação Criminal (UIC) da Polícia Judiciária, com apoio da Autoridade Nacional de Segurança (ANS), identificaram o IP</w:t>
      </w:r>
      <w:r>
        <w:t xml:space="preserve"> </w:t>
      </w:r>
      <w:r>
        <w:rPr>
          <w:b/>
          <w:bCs/>
        </w:rPr>
        <w:t xml:space="preserve">185.23.78.45</w:t>
      </w:r>
      <w:r>
        <w:t xml:space="preserve"> </w:t>
      </w:r>
      <w:r>
        <w:t xml:space="preserve">e o número de telemóvel</w:t>
      </w:r>
      <w:r>
        <w:t xml:space="preserve"> </w:t>
      </w:r>
      <w:r>
        <w:rPr>
          <w:b/>
          <w:bCs/>
        </w:rPr>
        <w:t xml:space="preserve">+351 912 345 678</w:t>
      </w:r>
      <w:r>
        <w:t xml:space="preserve">, ambos associados ao réu João da Silva, conforme relatórios periciais anexos (proc. n.º 2023/0456‑P/01).</w:t>
      </w:r>
    </w:p>
    <w:p>
      <w:r>
        <w:pict>
          <v:rect style="width:0;height:1.5pt" o:hralign="center" o:hrstd="t" o:hr="t"/>
        </w:pict>
      </w:r>
    </w:p>
    <w:bookmarkEnd w:id="12"/>
    <w:bookmarkStart w:id="13" w:name="fundamentação-jurídica"/>
    <w:p>
      <w:pPr>
        <w:pStyle w:val="Heading2"/>
      </w:pPr>
      <w:r>
        <w:t xml:space="preserve">3.</w:t>
      </w:r>
      <w:r>
        <w:t xml:space="preserve"> </w:t>
      </w:r>
      <w:r>
        <w:rPr>
          <w:b/>
          <w:bCs/>
        </w:rPr>
        <w:t xml:space="preserve">Fundamentação Jurídica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Tipificação penal</w:t>
      </w:r>
      <w:r>
        <w:t xml:space="preserve"> </w:t>
      </w:r>
      <w:r>
        <w:t xml:space="preserve">– Os factos descritos constituem</w:t>
      </w:r>
      <w:r>
        <w:t xml:space="preserve"> </w:t>
      </w:r>
      <w:r>
        <w:rPr>
          <w:b/>
          <w:bCs/>
        </w:rPr>
        <w:t xml:space="preserve">burla informática</w:t>
      </w:r>
      <w:r>
        <w:t xml:space="preserve">, prevista e punida no</w:t>
      </w:r>
      <w:r>
        <w:t xml:space="preserve"> </w:t>
      </w:r>
      <w:r>
        <w:rPr>
          <w:b/>
          <w:bCs/>
        </w:rPr>
        <w:t xml:space="preserve">artigo 217.º, n.º 1, alínea d) do Código Penal</w:t>
      </w:r>
      <w:r>
        <w:t xml:space="preserve">, que prevê pena de prisão até 5 anos e multa quando a prática for realizada mediante o uso de sistemas informáticos.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Responsabilidade civil</w:t>
      </w:r>
      <w:r>
        <w:t xml:space="preserve"> </w:t>
      </w:r>
      <w:r>
        <w:t xml:space="preserve">– Nos termos do</w:t>
      </w:r>
      <w:r>
        <w:t xml:space="preserve"> </w:t>
      </w:r>
      <w:r>
        <w:rPr>
          <w:b/>
          <w:bCs/>
        </w:rPr>
        <w:t xml:space="preserve">artigo 483.º do Código de Processo Penal</w:t>
      </w:r>
      <w:r>
        <w:t xml:space="preserve">, o réu é responsável pelos danos civis causados, devendo reparar o prejuízo patrimonial suportado pela vítima, acrescido de juros de mora a contar da data da prática delitiva, nos termos do</w:t>
      </w:r>
      <w:r>
        <w:t xml:space="preserve"> </w:t>
      </w:r>
      <w:r>
        <w:rPr>
          <w:b/>
          <w:bCs/>
        </w:rPr>
        <w:t xml:space="preserve">artigo 562.º do Código Civil</w:t>
      </w:r>
      <w:r>
        <w:t xml:space="preserve">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Jurisprudência aplicável</w:t>
      </w:r>
      <w:r>
        <w:t xml:space="preserve"> </w:t>
      </w:r>
      <w:r>
        <w:t xml:space="preserve">– Sentença do Tribunal da Relação de Lisboa, Processo n.º 2019/0178, que reconheceu a responsabilidade penal e civil de um réu por phishing, condenando-o ao pagamento integral do montante fraudado, acrescido de 8 % de juros anuais.</w:t>
      </w:r>
    </w:p>
    <w:p>
      <w:r>
        <w:pict>
          <v:rect style="width:0;height:1.5pt" o:hralign="center" o:hrstd="t" o:hr="t"/>
        </w:pict>
      </w:r>
    </w:p>
    <w:bookmarkEnd w:id="13"/>
    <w:bookmarkStart w:id="14" w:name="pedidos"/>
    <w:p>
      <w:pPr>
        <w:pStyle w:val="Heading2"/>
      </w:pPr>
      <w:r>
        <w:t xml:space="preserve">4.</w:t>
      </w:r>
      <w:r>
        <w:t xml:space="preserve"> </w:t>
      </w:r>
      <w:r>
        <w:rPr>
          <w:b/>
          <w:bCs/>
        </w:rPr>
        <w:t xml:space="preserve">Pedidos</w:t>
      </w:r>
    </w:p>
    <w:p>
      <w:pPr>
        <w:pStyle w:val="FirstParagraph"/>
      </w:pPr>
      <w:r>
        <w:t xml:space="preserve">Face ao exposto, o Ministério Público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168"/>
        <w:gridCol w:w="475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Abertura da instrução criminal</w:t>
            </w:r>
            <w:r>
              <w:t xml:space="preserve"> </w:t>
            </w:r>
            <w:r>
              <w:t xml:space="preserve">e</w:t>
            </w:r>
            <w:r>
              <w:t xml:space="preserve"> </w:t>
            </w:r>
            <w:r>
              <w:rPr>
                <w:b/>
                <w:bCs/>
              </w:rPr>
              <w:t xml:space="preserve">condenação do réu João da Silva</w:t>
            </w:r>
            <w:r>
              <w:t xml:space="preserve"> </w:t>
            </w:r>
            <w:r>
              <w:t xml:space="preserve">pela prática do crime de burla informática (art. 217.º, n.º 1, alínea d), Código Penal).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Aplicação da pena de prisão</w:t>
            </w:r>
            <w:r>
              <w:t xml:space="preserve"> </w:t>
            </w:r>
            <w:r>
              <w:t xml:space="preserve">de</w:t>
            </w:r>
            <w:r>
              <w:t xml:space="preserve"> </w:t>
            </w:r>
            <w:r>
              <w:rPr>
                <w:b/>
                <w:bCs/>
              </w:rPr>
              <w:t xml:space="preserve">3 (três) anos</w:t>
            </w:r>
            <w:r>
              <w:t xml:space="preserve"> </w:t>
            </w:r>
            <w:r>
              <w:t xml:space="preserve">e</w:t>
            </w:r>
            <w:r>
              <w:t xml:space="preserve"> </w:t>
            </w:r>
            <w:r>
              <w:rPr>
                <w:b/>
                <w:bCs/>
              </w:rPr>
              <w:t xml:space="preserve">multa</w:t>
            </w:r>
            <w:r>
              <w:t xml:space="preserve"> </w:t>
            </w:r>
            <w:r>
              <w:t xml:space="preserve">de</w:t>
            </w:r>
            <w:r>
              <w:t xml:space="preserve"> </w:t>
            </w:r>
            <w:r>
              <w:rPr>
                <w:b/>
                <w:bCs/>
              </w:rPr>
              <w:t xml:space="preserve">€10 000</w:t>
            </w:r>
            <w:r>
              <w:t xml:space="preserve">, nos termos do art. 217.º, n.º 2, do Código Penal.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civil</w:t>
            </w:r>
            <w:r>
              <w:t xml:space="preserve"> </w:t>
            </w:r>
            <w:r>
              <w:t xml:space="preserve">a favor da empresa</w:t>
            </w:r>
            <w:r>
              <w:t xml:space="preserve"> </w:t>
            </w:r>
            <w:r>
              <w:rPr>
                <w:b/>
                <w:bCs/>
              </w:rPr>
              <w:t xml:space="preserve">TechSolutions, Lda.</w:t>
            </w:r>
            <w:r>
              <w:t xml:space="preserve">, no montante de</w:t>
            </w:r>
            <w:r>
              <w:t xml:space="preserve"> </w:t>
            </w:r>
            <w:r>
              <w:rPr>
                <w:b/>
                <w:bCs/>
              </w:rPr>
              <w:t xml:space="preserve">€32 000</w:t>
            </w:r>
            <w:r>
              <w:t xml:space="preserve">, acrescido de juros de mora à taxa legal desde a data de cada transferência (art. 562.º CC).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do réu</w:t>
            </w:r>
            <w:r>
              <w:t xml:space="preserve"> </w:t>
            </w:r>
            <w:r>
              <w:t xml:space="preserve">ao pagamento das</w:t>
            </w:r>
            <w:r>
              <w:t xml:space="preserve"> </w:t>
            </w:r>
            <w:r>
              <w:rPr>
                <w:b/>
                <w:bCs/>
              </w:rPr>
              <w:t xml:space="preserve">custas processuais</w:t>
            </w:r>
            <w:r>
              <w:t xml:space="preserve"> </w:t>
            </w:r>
            <w:r>
              <w:t xml:space="preserve">e dos</w:t>
            </w:r>
            <w:r>
              <w:t xml:space="preserve"> </w:t>
            </w:r>
            <w:r>
              <w:rPr>
                <w:b/>
                <w:bCs/>
              </w:rPr>
              <w:t xml:space="preserve">honorários periciais</w:t>
            </w:r>
            <w:r>
              <w:t xml:space="preserve"> </w:t>
            </w:r>
            <w:r>
              <w:t xml:space="preserve">(valor estimado em €2 500).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Diligências de prova</w:t>
            </w:r>
            <w:r>
              <w:t xml:space="preserve">:</w:t>
            </w:r>
          </w:p>
        </w:tc>
      </w:tr>
    </w:tbl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Requisição de dados bancários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bloqueio preventivo</w:t>
      </w:r>
      <w:r>
        <w:t xml:space="preserve"> </w:t>
      </w:r>
      <w:r>
        <w:t xml:space="preserve">das contas indicadas na tabela (art. 53.º CPC).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Oitiva de peritos informáticos</w:t>
      </w:r>
      <w:r>
        <w:t xml:space="preserve"> </w:t>
      </w:r>
      <w:r>
        <w:t xml:space="preserve">designados por V. Exa. (art. 511.º CPP).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Depoimento das vítimas</w:t>
      </w:r>
      <w:r>
        <w:t xml:space="preserve"> </w:t>
      </w:r>
      <w:r>
        <w:t xml:space="preserve">(representantes da TechSolutions, Lda.). |</w:t>
      </w:r>
      <w:r>
        <w:t xml:space="preserve"> </w:t>
      </w:r>
      <w:r>
        <w:t xml:space="preserve">| 6 |</w:t>
      </w:r>
      <w:r>
        <w:t xml:space="preserve"> </w:t>
      </w:r>
      <w:r>
        <w:rPr>
          <w:b/>
          <w:bCs/>
        </w:rPr>
        <w:t xml:space="preserve">Expedição de mandado de detenção</w:t>
      </w:r>
      <w:r>
        <w:t xml:space="preserve"> </w:t>
      </w:r>
      <w:r>
        <w:t xml:space="preserve">preventiva, caso V. Exa. considere necessária a garantia da ordem pública (art. 309.º CPP). |</w:t>
      </w:r>
      <w:r>
        <w:t xml:space="preserve"> </w:t>
      </w:r>
      <w:r>
        <w:t xml:space="preserve">| 7 |</w:t>
      </w:r>
      <w:r>
        <w:t xml:space="preserve"> </w:t>
      </w:r>
      <w:r>
        <w:rPr>
          <w:b/>
          <w:bCs/>
        </w:rPr>
        <w:t xml:space="preserve">Comunicação à Autoridade Nacional de Segurança</w:t>
      </w:r>
      <w:r>
        <w:t xml:space="preserve"> </w:t>
      </w:r>
      <w:r>
        <w:t xml:space="preserve">para que proceda à interdição de quaisquer domínios eletrónicos associados ao réu. |</w:t>
      </w:r>
    </w:p>
    <w:p>
      <w:r>
        <w:pict>
          <v:rect style="width:0;height:1.5pt" o:hralign="center" o:hrstd="t" o:hr="t"/>
        </w:pict>
      </w:r>
    </w:p>
    <w:bookmarkEnd w:id="14"/>
    <w:bookmarkStart w:id="15" w:name="provas-documentais-anexas"/>
    <w:p>
      <w:pPr>
        <w:pStyle w:val="Heading2"/>
      </w:pPr>
      <w:r>
        <w:t xml:space="preserve">5.</w:t>
      </w:r>
      <w:r>
        <w:t xml:space="preserve"> </w:t>
      </w:r>
      <w:r>
        <w:rPr>
          <w:b/>
          <w:bCs/>
        </w:rPr>
        <w:t xml:space="preserve">Provas Documentais Anexas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Cópia da denúncia</w:t>
      </w:r>
      <w:r>
        <w:t xml:space="preserve"> </w:t>
      </w:r>
      <w:r>
        <w:t xml:space="preserve">apresentada à Polícia Judiciária (proc. n.º 2023/0456‑P/01).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Relatório pericial informático</w:t>
      </w:r>
      <w:r>
        <w:t xml:space="preserve"> </w:t>
      </w:r>
      <w:r>
        <w:t xml:space="preserve">elaborado pela empresa</w:t>
      </w:r>
      <w:r>
        <w:t xml:space="preserve"> </w:t>
      </w:r>
      <w:r>
        <w:rPr>
          <w:b/>
          <w:bCs/>
        </w:rPr>
        <w:t xml:space="preserve">ForensicTech, Lda.</w:t>
      </w:r>
      <w:r>
        <w:t xml:space="preserve">, NIF</w:t>
      </w:r>
      <w:r>
        <w:t xml:space="preserve"> </w:t>
      </w:r>
      <w:r>
        <w:rPr>
          <w:b/>
          <w:bCs/>
        </w:rPr>
        <w:t xml:space="preserve">509 321 654</w:t>
      </w:r>
      <w:r>
        <w:t xml:space="preserve">, datado de 5 de março de 2024.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Extratos bancários</w:t>
      </w:r>
      <w:r>
        <w:t xml:space="preserve"> </w:t>
      </w:r>
      <w:r>
        <w:t xml:space="preserve">da conta da</w:t>
      </w:r>
      <w:r>
        <w:t xml:space="preserve"> </w:t>
      </w:r>
      <w:r>
        <w:rPr>
          <w:b/>
          <w:bCs/>
        </w:rPr>
        <w:t xml:space="preserve">TechSolutions, Lda.</w:t>
      </w:r>
      <w:r>
        <w:t xml:space="preserve"> </w:t>
      </w:r>
      <w:r>
        <w:t xml:space="preserve">(período 1.º de março a 31 de março de 2023).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Cópia das mensagens eletrónicas fraudulentas</w:t>
      </w:r>
      <w:r>
        <w:t xml:space="preserve"> </w:t>
      </w:r>
      <w:r>
        <w:t xml:space="preserve">(captura de e‑mail e screenshots).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Laudos de rastreio de IP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registo de chamadas</w:t>
      </w:r>
      <w:r>
        <w:t xml:space="preserve"> </w:t>
      </w:r>
      <w:r>
        <w:t xml:space="preserve">do número de telemóvel associado ao réu.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Declarações de testemunhas</w:t>
      </w:r>
      <w:r>
        <w:t xml:space="preserve"> </w:t>
      </w:r>
      <w:r>
        <w:t xml:space="preserve">(funcionários da TechSolutions, Lda.).</w:t>
      </w:r>
    </w:p>
    <w:p>
      <w:r>
        <w:pict>
          <v:rect style="width:0;height:1.5pt" o:hralign="center" o:hrstd="t" o:hr="t"/>
        </w:pict>
      </w:r>
    </w:p>
    <w:bookmarkEnd w:id="15"/>
    <w:bookmarkStart w:id="16" w:name="conclusão"/>
    <w:p>
      <w:pPr>
        <w:pStyle w:val="Heading2"/>
      </w:pPr>
      <w:r>
        <w:t xml:space="preserve">6.</w:t>
      </w:r>
      <w:r>
        <w:t xml:space="preserve"> </w:t>
      </w:r>
      <w:r>
        <w:rPr>
          <w:b/>
          <w:bCs/>
        </w:rPr>
        <w:t xml:space="preserve">Conclusão</w:t>
      </w:r>
    </w:p>
    <w:p>
      <w:pPr>
        <w:pStyle w:val="FirstParagraph"/>
      </w:pPr>
      <w:r>
        <w:t xml:space="preserve">Pelo exposto, o Ministério Público requer a</w:t>
      </w:r>
      <w:r>
        <w:t xml:space="preserve"> </w:t>
      </w:r>
      <w:r>
        <w:rPr>
          <w:b/>
          <w:bCs/>
        </w:rPr>
        <w:t xml:space="preserve">condenação penal e civil</w:t>
      </w:r>
      <w:r>
        <w:t xml:space="preserve"> </w:t>
      </w:r>
      <w:r>
        <w:t xml:space="preserve">do réu João da Silva, nos termos dos pedidos acima enumerados, bem como a prática das diligências necessárias à completa elucidação dos factos.</w:t>
      </w:r>
    </w:p>
    <w:p>
      <w:pPr>
        <w:pStyle w:val="BodyText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Procuradora do Ministério Público</w:t>
      </w:r>
    </w:p>
    <w:p>
      <w:pPr>
        <w:pStyle w:val="BodyText"/>
      </w:pPr>
      <w:r>
        <w:rPr>
          <w:b/>
          <w:bCs/>
        </w:rPr>
        <w:t xml:space="preserve">Dra. Marta Santos</w:t>
      </w:r>
      <w:r>
        <w:t xml:space="preserve"> </w:t>
      </w:r>
      <w:r>
        <w:t xml:space="preserve">– OA</w:t>
      </w:r>
      <w:r>
        <w:t xml:space="preserve"> </w:t>
      </w:r>
      <w:r>
        <w:rPr>
          <w:b/>
          <w:bCs/>
        </w:rPr>
        <w:t xml:space="preserve">54321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Documentos anexos: 1 a 6 (conforme relação supra).</w:t>
      </w:r>
    </w:p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